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0368"/>
      </w:tblGrid>
      <w:tr>
        <w:tc>
          <w:tcPr>
            <w:tcW w:type="dxa" w:w="10368"/>
            <w:shd w:fill="1F4E78"/>
            <w:tcBorders>
              <w:left w:val="single" w:sz="8" w:color="1F4E78"/>
              <w:top w:val="single" w:sz="8" w:color="1F4E78"/>
              <w:right w:val="single" w:sz="8" w:color="1F4E78"/>
              <w:bottom w:val="single" w:sz="8" w:color="1F4E78"/>
            </w:tcBorders>
            <w:vAlign w:val="center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48"/>
              </w:rPr>
              <w:t>Family Budget Planner</w:t>
            </w:r>
          </w:p>
          <w:p>
            <w:pPr>
              <w:jc w:val="center"/>
            </w:pPr>
            <w:r>
              <w:rPr>
                <w:rFonts w:ascii="Calibri" w:hAnsi="Calibri" w:eastAsia="Calibri"/>
                <w:color w:val="D9EAF7"/>
                <w:sz w:val="22"/>
              </w:rPr>
              <w:t>Professional monthly planner template with sample data in USD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92"/>
        <w:gridCol w:w="2592"/>
        <w:gridCol w:w="2592"/>
        <w:gridCol w:w="2592"/>
      </w:tblGrid>
      <w:tr>
        <w:tc>
          <w:tcPr>
            <w:tcW w:type="dxa" w:w="2592"/>
            <w:vAlign w:val="center"/>
            <w:shd w:fill="D9EAF7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left"/>
            </w:pPr>
            <w:r>
              <w:rPr>
                <w:b/>
                <w:color w:val="1F4E78"/>
              </w:rPr>
            </w:r>
            <w:r>
              <w:rPr>
                <w:rFonts w:ascii="Calibri" w:hAnsi="Calibri" w:eastAsia="Calibri"/>
                <w:b/>
                <w:color w:val="1F1F1F"/>
                <w:sz w:val="22"/>
              </w:rPr>
              <w:t>Month</w:t>
            </w:r>
          </w:p>
        </w:tc>
        <w:tc>
          <w:tcPr>
            <w:tcW w:type="dxa" w:w="2592"/>
            <w:vAlign w:val="center"/>
            <w:shd w:fill="FFFFFF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2"/>
              </w:rPr>
              <w:t>March 2026</w:t>
            </w:r>
          </w:p>
        </w:tc>
        <w:tc>
          <w:tcPr>
            <w:tcW w:type="dxa" w:w="2592"/>
            <w:vAlign w:val="center"/>
            <w:shd w:fill="D9EAF7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left"/>
            </w:pPr>
            <w:r>
              <w:rPr>
                <w:b/>
                <w:color w:val="1F4E78"/>
              </w:rPr>
            </w:r>
            <w:r>
              <w:rPr>
                <w:rFonts w:ascii="Calibri" w:hAnsi="Calibri" w:eastAsia="Calibri"/>
                <w:b/>
                <w:color w:val="1F1F1F"/>
                <w:sz w:val="22"/>
              </w:rPr>
              <w:t>Currency</w:t>
            </w:r>
          </w:p>
        </w:tc>
        <w:tc>
          <w:tcPr>
            <w:tcW w:type="dxa" w:w="2592"/>
            <w:vAlign w:val="center"/>
            <w:shd w:fill="FFFFFF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2"/>
              </w:rPr>
              <w:t>USD</w:t>
            </w:r>
          </w:p>
        </w:tc>
      </w:tr>
      <w:tr>
        <w:tc>
          <w:tcPr>
            <w:tcW w:type="dxa" w:w="2592"/>
            <w:vAlign w:val="center"/>
            <w:shd w:fill="D9EAF7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left"/>
            </w:pPr>
            <w:r>
              <w:rPr>
                <w:b/>
                <w:color w:val="1F4E78"/>
              </w:rPr>
            </w:r>
            <w:r>
              <w:rPr>
                <w:rFonts w:ascii="Calibri" w:hAnsi="Calibri" w:eastAsia="Calibri"/>
                <w:b/>
                <w:color w:val="1F1F1F"/>
                <w:sz w:val="22"/>
              </w:rPr>
              <w:t>Family Name</w:t>
            </w:r>
          </w:p>
        </w:tc>
        <w:tc>
          <w:tcPr>
            <w:tcW w:type="dxa" w:w="2592"/>
            <w:vAlign w:val="center"/>
            <w:shd w:fill="FFFFFF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2"/>
              </w:rPr>
              <w:t>Sample Household</w:t>
            </w:r>
          </w:p>
        </w:tc>
        <w:tc>
          <w:tcPr>
            <w:tcW w:type="dxa" w:w="2592"/>
            <w:vAlign w:val="center"/>
            <w:shd w:fill="D9EAF7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left"/>
            </w:pPr>
            <w:r>
              <w:rPr>
                <w:b/>
                <w:color w:val="1F4E78"/>
              </w:rPr>
            </w:r>
            <w:r>
              <w:rPr>
                <w:rFonts w:ascii="Calibri" w:hAnsi="Calibri" w:eastAsia="Calibri"/>
                <w:b/>
                <w:color w:val="1F1F1F"/>
                <w:sz w:val="22"/>
              </w:rPr>
              <w:t>Planner Type</w:t>
            </w:r>
          </w:p>
        </w:tc>
        <w:tc>
          <w:tcPr>
            <w:tcW w:type="dxa" w:w="2592"/>
            <w:vAlign w:val="center"/>
            <w:shd w:fill="FFFFFF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2"/>
              </w:rPr>
              <w:t>Monthly Budget</w:t>
            </w:r>
          </w:p>
        </w:tc>
      </w:tr>
    </w:tbl>
    <w:p/>
    <w:p>
      <w:pPr>
        <w:jc w:val="left"/>
      </w:pPr>
      <w:r>
        <w:rPr>
          <w:rFonts w:ascii="Calibri" w:hAnsi="Calibri" w:eastAsia="Calibri"/>
          <w:b/>
          <w:color w:val="1F4E78"/>
          <w:sz w:val="32"/>
        </w:rPr>
        <w:t>Quick Budget Summary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92"/>
        <w:gridCol w:w="2592"/>
        <w:gridCol w:w="2592"/>
        <w:gridCol w:w="2592"/>
      </w:tblGrid>
      <w:tr>
        <w:tc>
          <w:tcPr>
            <w:tcW w:type="dxa" w:w="2592"/>
            <w:vAlign w:val="center"/>
            <w:shd w:fill="D9EAF7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2"/>
              </w:rPr>
              <w:t>Planned Income</w:t>
            </w:r>
          </w:p>
        </w:tc>
        <w:tc>
          <w:tcPr>
            <w:tcW w:type="dxa" w:w="2592"/>
            <w:vAlign w:val="center"/>
            <w:shd w:fill="FFFFFF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center"/>
            </w:pPr>
            <w:r>
              <w:rPr>
                <w:b/>
                <w:sz w:val="28"/>
              </w:rPr>
            </w:r>
            <w:r>
              <w:rPr>
                <w:rFonts w:ascii="Calibri" w:hAnsi="Calibri" w:eastAsia="Calibri"/>
                <w:b/>
                <w:color w:val="1F4E78"/>
                <w:sz w:val="24"/>
              </w:rPr>
              <w:t>$7,700.00</w:t>
            </w:r>
          </w:p>
        </w:tc>
        <w:tc>
          <w:tcPr>
            <w:tcW w:type="dxa" w:w="2592"/>
            <w:vAlign w:val="center"/>
            <w:shd w:fill="D9EAF7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2"/>
              </w:rPr>
              <w:t>Actual Income</w:t>
            </w:r>
          </w:p>
        </w:tc>
        <w:tc>
          <w:tcPr>
            <w:tcW w:type="dxa" w:w="2592"/>
            <w:vAlign w:val="center"/>
            <w:shd w:fill="FFFFFF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center"/>
            </w:pPr>
            <w:r>
              <w:rPr>
                <w:b/>
                <w:sz w:val="28"/>
              </w:rPr>
            </w:r>
            <w:r>
              <w:rPr>
                <w:rFonts w:ascii="Calibri" w:hAnsi="Calibri" w:eastAsia="Calibri"/>
                <w:b/>
                <w:color w:val="1F4E78"/>
                <w:sz w:val="24"/>
              </w:rPr>
              <w:t>$7,850.00</w:t>
            </w:r>
          </w:p>
        </w:tc>
      </w:tr>
      <w:tr>
        <w:tc>
          <w:tcPr>
            <w:tcW w:type="dxa" w:w="2592"/>
            <w:vAlign w:val="center"/>
            <w:shd w:fill="D9EAF7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2"/>
              </w:rPr>
              <w:t>Planned Expenses</w:t>
            </w:r>
          </w:p>
        </w:tc>
        <w:tc>
          <w:tcPr>
            <w:tcW w:type="dxa" w:w="2592"/>
            <w:vAlign w:val="center"/>
            <w:shd w:fill="FFFFFF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center"/>
            </w:pPr>
            <w:r>
              <w:rPr>
                <w:b/>
                <w:sz w:val="28"/>
              </w:rPr>
            </w:r>
            <w:r>
              <w:rPr>
                <w:rFonts w:ascii="Calibri" w:hAnsi="Calibri" w:eastAsia="Calibri"/>
                <w:b/>
                <w:color w:val="1F4E78"/>
                <w:sz w:val="24"/>
              </w:rPr>
              <w:t>$3,800.00</w:t>
            </w:r>
          </w:p>
        </w:tc>
        <w:tc>
          <w:tcPr>
            <w:tcW w:type="dxa" w:w="2592"/>
            <w:vAlign w:val="center"/>
            <w:shd w:fill="D9EAF7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2"/>
              </w:rPr>
              <w:t>Actual Expenses</w:t>
            </w:r>
          </w:p>
        </w:tc>
        <w:tc>
          <w:tcPr>
            <w:tcW w:type="dxa" w:w="2592"/>
            <w:vAlign w:val="center"/>
            <w:shd w:fill="FFFFFF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center"/>
            </w:pPr>
            <w:r>
              <w:rPr>
                <w:b/>
                <w:sz w:val="28"/>
              </w:rPr>
            </w:r>
            <w:r>
              <w:rPr>
                <w:rFonts w:ascii="Calibri" w:hAnsi="Calibri" w:eastAsia="Calibri"/>
                <w:b/>
                <w:color w:val="1F4E78"/>
                <w:sz w:val="24"/>
              </w:rPr>
              <w:t>$3,825.00</w:t>
            </w:r>
          </w:p>
        </w:tc>
      </w:tr>
      <w:tr>
        <w:tc>
          <w:tcPr>
            <w:tcW w:type="dxa" w:w="2592"/>
            <w:vAlign w:val="center"/>
            <w:shd w:fill="D9EAF7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2"/>
              </w:rPr>
              <w:t>Planned Savings</w:t>
            </w:r>
          </w:p>
        </w:tc>
        <w:tc>
          <w:tcPr>
            <w:tcW w:type="dxa" w:w="2592"/>
            <w:vAlign w:val="center"/>
            <w:shd w:fill="FFFFFF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center"/>
            </w:pPr>
            <w:r>
              <w:rPr>
                <w:b/>
                <w:sz w:val="28"/>
              </w:rPr>
            </w:r>
            <w:r>
              <w:rPr>
                <w:rFonts w:ascii="Calibri" w:hAnsi="Calibri" w:eastAsia="Calibri"/>
                <w:b/>
                <w:color w:val="1F4E78"/>
                <w:sz w:val="24"/>
              </w:rPr>
              <w:t>$900.00</w:t>
            </w:r>
          </w:p>
        </w:tc>
        <w:tc>
          <w:tcPr>
            <w:tcW w:type="dxa" w:w="2592"/>
            <w:vAlign w:val="center"/>
            <w:shd w:fill="D9EAF7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2"/>
              </w:rPr>
              <w:t>Actual Savings</w:t>
            </w:r>
          </w:p>
        </w:tc>
        <w:tc>
          <w:tcPr>
            <w:tcW w:type="dxa" w:w="2592"/>
            <w:vAlign w:val="center"/>
            <w:shd w:fill="FFFFFF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center"/>
            </w:pPr>
            <w:r>
              <w:rPr>
                <w:b/>
                <w:sz w:val="28"/>
              </w:rPr>
            </w:r>
            <w:r>
              <w:rPr>
                <w:rFonts w:ascii="Calibri" w:hAnsi="Calibri" w:eastAsia="Calibri"/>
                <w:b/>
                <w:color w:val="1F4E78"/>
                <w:sz w:val="24"/>
              </w:rPr>
              <w:t>$860.00</w:t>
            </w:r>
          </w:p>
        </w:tc>
      </w:tr>
      <w:tr>
        <w:tc>
          <w:tcPr>
            <w:tcW w:type="dxa" w:w="2592"/>
            <w:vAlign w:val="center"/>
            <w:shd w:fill="D9EAF7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2"/>
              </w:rPr>
              <w:t>Planned Net Balance</w:t>
            </w:r>
          </w:p>
        </w:tc>
        <w:tc>
          <w:tcPr>
            <w:tcW w:type="dxa" w:w="2592"/>
            <w:vAlign w:val="center"/>
            <w:shd w:fill="FFFFFF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center"/>
            </w:pPr>
            <w:r>
              <w:rPr>
                <w:b/>
                <w:sz w:val="28"/>
              </w:rPr>
            </w:r>
            <w:r>
              <w:rPr>
                <w:rFonts w:ascii="Calibri" w:hAnsi="Calibri" w:eastAsia="Calibri"/>
                <w:b/>
                <w:color w:val="1F4E78"/>
                <w:sz w:val="24"/>
              </w:rPr>
              <w:t>$3,000.00</w:t>
            </w:r>
          </w:p>
        </w:tc>
        <w:tc>
          <w:tcPr>
            <w:tcW w:type="dxa" w:w="2592"/>
            <w:vAlign w:val="center"/>
            <w:shd w:fill="D9EAF7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2"/>
              </w:rPr>
              <w:t>Actual Net Balance</w:t>
            </w:r>
          </w:p>
        </w:tc>
        <w:tc>
          <w:tcPr>
            <w:tcW w:type="dxa" w:w="2592"/>
            <w:vAlign w:val="center"/>
            <w:shd w:fill="FFFFFF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</w:tcPr>
          <w:p>
            <w:pPr>
              <w:jc w:val="center"/>
            </w:pPr>
            <w:r>
              <w:rPr>
                <w:b/>
                <w:sz w:val="28"/>
              </w:rPr>
            </w:r>
            <w:r>
              <w:rPr>
                <w:rFonts w:ascii="Calibri" w:hAnsi="Calibri" w:eastAsia="Calibri"/>
                <w:b/>
                <w:color w:val="1F4E78"/>
                <w:sz w:val="24"/>
              </w:rPr>
              <w:t>$3,165.00</w:t>
            </w:r>
          </w:p>
        </w:tc>
      </w:tr>
    </w:tbl>
    <w:p/>
    <w:p>
      <w:r>
        <w:rPr>
          <w:rFonts w:ascii="Calibri" w:hAnsi="Calibri" w:eastAsia="Calibri"/>
          <w:b/>
          <w:color w:val="1F4E78"/>
          <w:sz w:val="32"/>
        </w:rPr>
        <w:t>Detailed Monthly Budget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481"/>
        <w:gridCol w:w="1481"/>
        <w:gridCol w:w="1481"/>
        <w:gridCol w:w="1481"/>
        <w:gridCol w:w="1481"/>
        <w:gridCol w:w="1481"/>
        <w:gridCol w:w="1481"/>
      </w:tblGrid>
      <w:tr>
        <w:tc>
          <w:tcPr>
            <w:tcW w:type="dxa" w:w="1481"/>
            <w:vAlign w:val="center"/>
            <w:shd w:fill="5B9BD5"/>
            <w:tcBorders>
              <w:left w:val="single" w:sz="8" w:color="5B9BD5"/>
              <w:top w:val="single" w:sz="8" w:color="5B9BD5"/>
              <w:right w:val="single" w:sz="8" w:color="5B9BD5"/>
              <w:bottom w:val="single" w:sz="8" w:color="5B9BD5"/>
            </w:tcBorders>
          </w:tcPr>
          <w:p>
            <w:pPr>
              <w:jc w:val="center"/>
            </w:pPr>
            <w:r/>
            <w:r>
              <w:rPr>
                <w:rFonts w:ascii="Calibri" w:hAnsi="Calibri" w:eastAsia="Calibri"/>
                <w:b/>
                <w:color w:val="FFFFFF"/>
                <w:sz w:val="22"/>
              </w:rPr>
              <w:t>Type</w:t>
            </w:r>
          </w:p>
        </w:tc>
        <w:tc>
          <w:tcPr>
            <w:tcW w:type="dxa" w:w="1481"/>
            <w:vAlign w:val="center"/>
            <w:shd w:fill="5B9BD5"/>
            <w:tcBorders>
              <w:left w:val="single" w:sz="8" w:color="5B9BD5"/>
              <w:top w:val="single" w:sz="8" w:color="5B9BD5"/>
              <w:right w:val="single" w:sz="8" w:color="5B9BD5"/>
              <w:bottom w:val="single" w:sz="8" w:color="5B9BD5"/>
            </w:tcBorders>
          </w:tcPr>
          <w:p>
            <w:pPr>
              <w:jc w:val="center"/>
            </w:pPr>
            <w:r/>
            <w:r>
              <w:rPr>
                <w:rFonts w:ascii="Calibri" w:hAnsi="Calibri" w:eastAsia="Calibri"/>
                <w:b/>
                <w:color w:val="FFFFFF"/>
                <w:sz w:val="22"/>
              </w:rPr>
              <w:t>Category</w:t>
            </w:r>
          </w:p>
        </w:tc>
        <w:tc>
          <w:tcPr>
            <w:tcW w:type="dxa" w:w="1481"/>
            <w:vAlign w:val="center"/>
            <w:shd w:fill="5B9BD5"/>
            <w:tcBorders>
              <w:left w:val="single" w:sz="8" w:color="5B9BD5"/>
              <w:top w:val="single" w:sz="8" w:color="5B9BD5"/>
              <w:right w:val="single" w:sz="8" w:color="5B9BD5"/>
              <w:bottom w:val="single" w:sz="8" w:color="5B9BD5"/>
            </w:tcBorders>
          </w:tcPr>
          <w:p>
            <w:pPr>
              <w:jc w:val="center"/>
            </w:pPr>
            <w:r/>
            <w:r>
              <w:rPr>
                <w:rFonts w:ascii="Calibri" w:hAnsi="Calibri" w:eastAsia="Calibri"/>
                <w:b/>
                <w:color w:val="FFFFFF"/>
                <w:sz w:val="22"/>
              </w:rPr>
              <w:t>Budgeted (USD)</w:t>
            </w:r>
          </w:p>
        </w:tc>
        <w:tc>
          <w:tcPr>
            <w:tcW w:type="dxa" w:w="1481"/>
            <w:vAlign w:val="center"/>
            <w:shd w:fill="5B9BD5"/>
            <w:tcBorders>
              <w:left w:val="single" w:sz="8" w:color="5B9BD5"/>
              <w:top w:val="single" w:sz="8" w:color="5B9BD5"/>
              <w:right w:val="single" w:sz="8" w:color="5B9BD5"/>
              <w:bottom w:val="single" w:sz="8" w:color="5B9BD5"/>
            </w:tcBorders>
          </w:tcPr>
          <w:p>
            <w:pPr>
              <w:jc w:val="center"/>
            </w:pPr>
            <w:r/>
            <w:r>
              <w:rPr>
                <w:rFonts w:ascii="Calibri" w:hAnsi="Calibri" w:eastAsia="Calibri"/>
                <w:b/>
                <w:color w:val="FFFFFF"/>
                <w:sz w:val="22"/>
              </w:rPr>
              <w:t>Actual (USD)</w:t>
            </w:r>
          </w:p>
        </w:tc>
        <w:tc>
          <w:tcPr>
            <w:tcW w:type="dxa" w:w="1481"/>
            <w:vAlign w:val="center"/>
            <w:shd w:fill="5B9BD5"/>
            <w:tcBorders>
              <w:left w:val="single" w:sz="8" w:color="5B9BD5"/>
              <w:top w:val="single" w:sz="8" w:color="5B9BD5"/>
              <w:right w:val="single" w:sz="8" w:color="5B9BD5"/>
              <w:bottom w:val="single" w:sz="8" w:color="5B9BD5"/>
            </w:tcBorders>
          </w:tcPr>
          <w:p>
            <w:pPr>
              <w:jc w:val="center"/>
            </w:pPr>
            <w:r/>
            <w:r>
              <w:rPr>
                <w:rFonts w:ascii="Calibri" w:hAnsi="Calibri" w:eastAsia="Calibri"/>
                <w:b/>
                <w:color w:val="FFFFFF"/>
                <w:sz w:val="22"/>
              </w:rPr>
              <w:t>Difference</w:t>
            </w:r>
          </w:p>
        </w:tc>
        <w:tc>
          <w:tcPr>
            <w:tcW w:type="dxa" w:w="1481"/>
            <w:vAlign w:val="center"/>
            <w:shd w:fill="5B9BD5"/>
            <w:tcBorders>
              <w:left w:val="single" w:sz="8" w:color="5B9BD5"/>
              <w:top w:val="single" w:sz="8" w:color="5B9BD5"/>
              <w:right w:val="single" w:sz="8" w:color="5B9BD5"/>
              <w:bottom w:val="single" w:sz="8" w:color="5B9BD5"/>
            </w:tcBorders>
          </w:tcPr>
          <w:p>
            <w:pPr>
              <w:jc w:val="center"/>
            </w:pPr>
            <w:r/>
            <w:r>
              <w:rPr>
                <w:rFonts w:ascii="Calibri" w:hAnsi="Calibri" w:eastAsia="Calibri"/>
                <w:b/>
                <w:color w:val="FFFFFF"/>
                <w:sz w:val="22"/>
              </w:rPr>
              <w:t>Status</w:t>
            </w:r>
          </w:p>
        </w:tc>
        <w:tc>
          <w:tcPr>
            <w:tcW w:type="dxa" w:w="1481"/>
            <w:vAlign w:val="center"/>
            <w:shd w:fill="5B9BD5"/>
            <w:tcBorders>
              <w:left w:val="single" w:sz="8" w:color="5B9BD5"/>
              <w:top w:val="single" w:sz="8" w:color="5B9BD5"/>
              <w:right w:val="single" w:sz="8" w:color="5B9BD5"/>
              <w:bottom w:val="single" w:sz="8" w:color="5B9BD5"/>
            </w:tcBorders>
          </w:tcPr>
          <w:p>
            <w:pPr>
              <w:jc w:val="center"/>
            </w:pPr>
            <w:r/>
            <w:r>
              <w:rPr>
                <w:rFonts w:ascii="Calibri" w:hAnsi="Calibri" w:eastAsia="Calibri"/>
                <w:b/>
                <w:color w:val="FFFFFF"/>
                <w:sz w:val="22"/>
              </w:rPr>
              <w:t>Notes</w:t>
            </w:r>
          </w:p>
        </w:tc>
      </w:tr>
      <w:tr>
        <w:tc>
          <w:tcPr>
            <w:tcW w:type="dxa" w:w="1481"/>
            <w:vAlign w:val="center"/>
            <w:shd w:fill="E2F0D9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1"/>
              </w:rPr>
              <w:t>Income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Primary Salary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$6,500.00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$6,500.00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center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On Target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Main household income</w:t>
            </w:r>
          </w:p>
        </w:tc>
      </w:tr>
      <w:tr>
        <w:tc>
          <w:tcPr>
            <w:tcW w:type="dxa" w:w="1481"/>
            <w:vAlign w:val="center"/>
            <w:shd w:fill="E2F0D9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1"/>
              </w:rPr>
              <w:t>Income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Freelance / Side Hustle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$1,200.00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$1,350.00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$150.00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center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Above Target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Variable income stream</w:t>
            </w:r>
          </w:p>
        </w:tc>
      </w:tr>
      <w:tr>
        <w:tc>
          <w:tcPr>
            <w:tcW w:type="dxa" w:w="1481"/>
            <w:vAlign w:val="center"/>
            <w:shd w:fill="F2F4F7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1"/>
              </w:rPr>
              <w:t>Expense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Housing / Rent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$1,800.00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$1,800.00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center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On Budget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Monthly housing payment</w:t>
            </w:r>
          </w:p>
        </w:tc>
      </w:tr>
      <w:tr>
        <w:tc>
          <w:tcPr>
            <w:tcW w:type="dxa" w:w="1481"/>
            <w:vAlign w:val="center"/>
            <w:shd w:fill="F2F4F7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1"/>
              </w:rPr>
              <w:t>Expense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Utilities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$280.00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$295.00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$15.00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center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Over Budget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Electricity, gas, internet</w:t>
            </w:r>
          </w:p>
        </w:tc>
      </w:tr>
      <w:tr>
        <w:tc>
          <w:tcPr>
            <w:tcW w:type="dxa" w:w="1481"/>
            <w:vAlign w:val="center"/>
            <w:shd w:fill="F2F4F7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1"/>
              </w:rPr>
              <w:t>Expense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Groceries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$700.00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$745.00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$45.00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center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Over Budget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Food and household supplies</w:t>
            </w:r>
          </w:p>
        </w:tc>
      </w:tr>
      <w:tr>
        <w:tc>
          <w:tcPr>
            <w:tcW w:type="dxa" w:w="1481"/>
            <w:vAlign w:val="center"/>
            <w:shd w:fill="F2F4F7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1"/>
              </w:rPr>
              <w:t>Expense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Transportation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$350.00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$310.00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$-40.00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center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Under Budget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Fuel and local travel</w:t>
            </w:r>
          </w:p>
        </w:tc>
      </w:tr>
      <w:tr>
        <w:tc>
          <w:tcPr>
            <w:tcW w:type="dxa" w:w="1481"/>
            <w:vAlign w:val="center"/>
            <w:shd w:fill="F2F4F7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1"/>
              </w:rPr>
              <w:t>Expense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Education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$250.00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$250.00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center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On Budget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School fees / learning costs</w:t>
            </w:r>
          </w:p>
        </w:tc>
      </w:tr>
      <w:tr>
        <w:tc>
          <w:tcPr>
            <w:tcW w:type="dxa" w:w="1481"/>
            <w:vAlign w:val="center"/>
            <w:shd w:fill="F2F4F7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1"/>
              </w:rPr>
              <w:t>Expense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Healthcare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$200.00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$185.00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$-15.00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center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Under Budget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Medicines and checkups</w:t>
            </w:r>
          </w:p>
        </w:tc>
      </w:tr>
      <w:tr>
        <w:tc>
          <w:tcPr>
            <w:tcW w:type="dxa" w:w="1481"/>
            <w:vAlign w:val="center"/>
            <w:shd w:fill="D9EAF7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1"/>
              </w:rPr>
              <w:t>Savings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Emergency Fund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$600.00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$600.00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center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On Plan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Safety reserve</w:t>
            </w:r>
          </w:p>
        </w:tc>
      </w:tr>
      <w:tr>
        <w:tc>
          <w:tcPr>
            <w:tcW w:type="dxa" w:w="1481"/>
            <w:vAlign w:val="center"/>
            <w:shd w:fill="D9EAF7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1"/>
              </w:rPr>
              <w:t>Savings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Vacation Savings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$300.00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$260.00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$-40.00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center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Below Plan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Short-term family goal</w:t>
            </w:r>
          </w:p>
        </w:tc>
      </w:tr>
      <w:tr>
        <w:tc>
          <w:tcPr>
            <w:tcW w:type="dxa" w:w="1481"/>
            <w:vAlign w:val="center"/>
            <w:shd w:fill="F2F4F7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1"/>
              </w:rPr>
              <w:t>Expense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Entertainment &amp; Misc.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$220.00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$240.00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$20.00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center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Over Budget</w:t>
            </w:r>
          </w:p>
        </w:tc>
        <w:tc>
          <w:tcPr>
            <w:tcW w:type="dxa" w:w="1481"/>
            <w:vAlign w:val="center"/>
            <w:shd w:fill="FFFFFF"/>
            <w:tcBorders>
              <w:left w:val="single" w:sz="4" w:color="D0D7DE"/>
              <w:top w:val="single" w:sz="4" w:color="D0D7DE"/>
              <w:right w:val="single" w:sz="4" w:color="D0D7DE"/>
              <w:bottom w:val="single" w:sz="4" w:color="D0D7DE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1F1F1F"/>
                <w:sz w:val="21"/>
              </w:rPr>
              <w:t>Streaming, outings, extras</w:t>
            </w:r>
          </w:p>
        </w:tc>
      </w:tr>
      <w:tr>
        <w:tc>
          <w:tcPr>
            <w:tcW w:type="dxa" w:w="1481"/>
            <w:vAlign w:val="center"/>
            <w:shd w:fill="D9EAF7"/>
            <w:tcBorders>
              <w:left w:val="single" w:sz="6" w:color="9FB6CD"/>
              <w:top w:val="single" w:sz="6" w:color="9FB6CD"/>
              <w:right w:val="single" w:sz="6" w:color="9FB6CD"/>
              <w:bottom w:val="single" w:sz="6" w:color="9FB6CD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2"/>
              </w:rPr>
            </w:r>
          </w:p>
        </w:tc>
        <w:tc>
          <w:tcPr>
            <w:tcW w:type="dxa" w:w="1481"/>
            <w:vAlign w:val="center"/>
            <w:shd w:fill="D9EAF7"/>
            <w:tcBorders>
              <w:left w:val="single" w:sz="6" w:color="9FB6CD"/>
              <w:top w:val="single" w:sz="6" w:color="9FB6CD"/>
              <w:right w:val="single" w:sz="6" w:color="9FB6CD"/>
              <w:bottom w:val="single" w:sz="6" w:color="9FB6CD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2"/>
              </w:rPr>
              <w:t>TOTAL</w:t>
            </w:r>
          </w:p>
        </w:tc>
        <w:tc>
          <w:tcPr>
            <w:tcW w:type="dxa" w:w="1481"/>
            <w:vAlign w:val="center"/>
            <w:shd w:fill="D9EAF7"/>
            <w:tcBorders>
              <w:left w:val="single" w:sz="6" w:color="9FB6CD"/>
              <w:top w:val="single" w:sz="6" w:color="9FB6CD"/>
              <w:right w:val="single" w:sz="6" w:color="9FB6CD"/>
              <w:bottom w:val="single" w:sz="6" w:color="9FB6CD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/>
                <w:color w:val="1F4E78"/>
                <w:sz w:val="22"/>
              </w:rPr>
              <w:t>$12,400.00</w:t>
            </w:r>
          </w:p>
        </w:tc>
        <w:tc>
          <w:tcPr>
            <w:tcW w:type="dxa" w:w="1481"/>
            <w:vAlign w:val="center"/>
            <w:shd w:fill="D9EAF7"/>
            <w:tcBorders>
              <w:left w:val="single" w:sz="6" w:color="9FB6CD"/>
              <w:top w:val="single" w:sz="6" w:color="9FB6CD"/>
              <w:right w:val="single" w:sz="6" w:color="9FB6CD"/>
              <w:bottom w:val="single" w:sz="6" w:color="9FB6CD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/>
                <w:color w:val="1F4E78"/>
                <w:sz w:val="22"/>
              </w:rPr>
              <w:t>$12,535.00</w:t>
            </w:r>
          </w:p>
        </w:tc>
        <w:tc>
          <w:tcPr>
            <w:tcW w:type="dxa" w:w="1481"/>
            <w:vAlign w:val="center"/>
            <w:shd w:fill="D9EAF7"/>
            <w:tcBorders>
              <w:left w:val="single" w:sz="6" w:color="9FB6CD"/>
              <w:top w:val="single" w:sz="6" w:color="9FB6CD"/>
              <w:right w:val="single" w:sz="6" w:color="9FB6CD"/>
              <w:bottom w:val="single" w:sz="6" w:color="9FB6CD"/>
            </w:tcBorders>
          </w:tcPr>
          <w:p>
            <w:pPr>
              <w:jc w:val="right"/>
            </w:pPr>
            <w:r/>
            <w:r>
              <w:rPr>
                <w:rFonts w:ascii="Calibri" w:hAnsi="Calibri" w:eastAsia="Calibri"/>
                <w:b/>
                <w:color w:val="1F4E78"/>
                <w:sz w:val="22"/>
              </w:rPr>
              <w:t>$135.00</w:t>
            </w:r>
          </w:p>
        </w:tc>
        <w:tc>
          <w:tcPr>
            <w:tcW w:type="dxa" w:w="1481"/>
            <w:vAlign w:val="center"/>
            <w:shd w:fill="D9EAF7"/>
            <w:tcBorders>
              <w:left w:val="single" w:sz="6" w:color="9FB6CD"/>
              <w:top w:val="single" w:sz="6" w:color="9FB6CD"/>
              <w:right w:val="single" w:sz="6" w:color="9FB6CD"/>
              <w:bottom w:val="single" w:sz="6" w:color="9FB6CD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2"/>
              </w:rPr>
            </w:r>
          </w:p>
        </w:tc>
        <w:tc>
          <w:tcPr>
            <w:tcW w:type="dxa" w:w="1481"/>
            <w:vAlign w:val="center"/>
            <w:shd w:fill="D9EAF7"/>
            <w:tcBorders>
              <w:left w:val="single" w:sz="6" w:color="9FB6CD"/>
              <w:top w:val="single" w:sz="6" w:color="9FB6CD"/>
              <w:right w:val="single" w:sz="6" w:color="9FB6CD"/>
              <w:bottom w:val="single" w:sz="6" w:color="9FB6CD"/>
            </w:tcBorders>
          </w:tcPr>
          <w:p>
            <w:pPr>
              <w:jc w:val="left"/>
            </w:pPr>
            <w:r/>
            <w:r>
              <w:rPr>
                <w:rFonts w:ascii="Calibri" w:hAnsi="Calibri" w:eastAsia="Calibri"/>
                <w:b/>
                <w:color w:val="1F4E78"/>
                <w:sz w:val="22"/>
              </w:rPr>
            </w:r>
          </w:p>
        </w:tc>
      </w:tr>
    </w:tbl>
    <w:p/>
    <w:p>
      <w:r>
        <w:rPr>
          <w:rFonts w:ascii="Calibri" w:hAnsi="Calibri" w:eastAsia="Calibri"/>
          <w:b/>
          <w:color w:val="1F4E78"/>
          <w:sz w:val="30"/>
        </w:rPr>
        <w:t>Planner Notes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68"/>
      </w:tblGrid>
      <w:tr>
        <w:tc>
          <w:tcPr>
            <w:tcW w:type="dxa" w:w="10368"/>
            <w:shd w:fill="F5F7FA"/>
            <w:tcBorders>
              <w:left w:val="single" w:sz="6" w:color="D0D7DE"/>
              <w:top w:val="single" w:sz="6" w:color="D0D7DE"/>
              <w:right w:val="single" w:sz="6" w:color="D0D7DE"/>
              <w:bottom w:val="single" w:sz="6" w:color="D0D7DE"/>
            </w:tcBorders>
            <w:vAlign w:val="center"/>
          </w:tcPr>
          <w:p>
            <w:pPr>
              <w:jc w:val="left"/>
            </w:pPr>
            <w:r/>
            <w:r>
              <w:rPr>
                <w:rFonts w:ascii="Calibri" w:hAnsi="Calibri" w:eastAsia="Calibri"/>
                <w:b w:val="0"/>
                <w:color w:val="333333"/>
                <w:sz w:val="22"/>
              </w:rPr>
              <w:t>Tip: Review the Difference and Status columns each month to spot overspending early, protect savings goals, and keep your family budget healthy.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64" w:right="936" w:bottom="864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/>
        <w:color w:val="6B7280"/>
        <w:sz w:val="18"/>
      </w:rPr>
      <w:t>Family Budget Planner • Sample Professional Template • USD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